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ADB" w:rsidRDefault="00C92ADB" w:rsidP="00C92ADB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Информация для студентов</w:t>
      </w:r>
    </w:p>
    <w:p w:rsidR="00C92ADB" w:rsidRPr="00BD3263" w:rsidRDefault="00C92ADB" w:rsidP="00C92ADB">
      <w:pPr>
        <w:ind w:firstLine="709"/>
        <w:jc w:val="both"/>
        <w:rPr>
          <w:sz w:val="28"/>
          <w:szCs w:val="28"/>
          <w:u w:val="single"/>
          <w:lang w:val="ru-RU"/>
        </w:rPr>
      </w:pPr>
      <w:r w:rsidRPr="00BD3263">
        <w:rPr>
          <w:b/>
          <w:sz w:val="28"/>
          <w:szCs w:val="28"/>
          <w:u w:val="single"/>
          <w:lang w:val="ru-RU"/>
        </w:rPr>
        <w:t xml:space="preserve">Конкурс личного первенства </w:t>
      </w:r>
      <w:r w:rsidRPr="00BD3263">
        <w:rPr>
          <w:rFonts w:eastAsia="Times New Roman"/>
          <w:b/>
          <w:bCs/>
          <w:i/>
          <w:color w:val="000000"/>
          <w:sz w:val="32"/>
          <w:szCs w:val="32"/>
          <w:shd w:val="clear" w:color="auto" w:fill="FFFFFF"/>
          <w:lang w:val="ru-RU" w:eastAsia="ru-RU"/>
        </w:rPr>
        <w:t>"Нежелательные побочные реакции и передозировка. Сходство и различие"</w:t>
      </w:r>
      <w:r w:rsidRPr="00B51D75"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BD3263">
        <w:rPr>
          <w:rStyle w:val="aa"/>
          <w:b w:val="0"/>
          <w:b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BD3263">
        <w:rPr>
          <w:sz w:val="28"/>
          <w:szCs w:val="28"/>
          <w:u w:val="single"/>
          <w:lang w:val="ru-RU"/>
        </w:rPr>
        <w:t xml:space="preserve"> (от каждой команды в конкурсе участвует только 1 студент)</w:t>
      </w:r>
    </w:p>
    <w:p w:rsidR="00C92ADB" w:rsidRDefault="00C92ADB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2ADB" w:rsidRPr="002C4EFC" w:rsidRDefault="00C92ADB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4EFC">
        <w:rPr>
          <w:color w:val="000000"/>
          <w:sz w:val="28"/>
          <w:szCs w:val="28"/>
        </w:rPr>
        <w:t xml:space="preserve">На конкурс будет представлена клиническая задача по вопросам фармакотерапии у пациентов с </w:t>
      </w:r>
      <w:r>
        <w:rPr>
          <w:color w:val="000000"/>
          <w:sz w:val="28"/>
          <w:szCs w:val="28"/>
        </w:rPr>
        <w:t>различными заболеваниями у которых наблюдались НПР или отмечалась передозировка</w:t>
      </w:r>
    </w:p>
    <w:p w:rsidR="00C92ADB" w:rsidRPr="002C4EFC" w:rsidRDefault="00C92ADB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4EFC">
        <w:rPr>
          <w:color w:val="000000"/>
          <w:sz w:val="28"/>
          <w:szCs w:val="28"/>
        </w:rPr>
        <w:t>В задаче будут указаны данные о пациенте: пол, возраст, вес, рост, диагноз (основной, осложнения, сопутствующие), фармакологический</w:t>
      </w:r>
      <w:r>
        <w:rPr>
          <w:color w:val="000000"/>
          <w:sz w:val="28"/>
          <w:szCs w:val="28"/>
        </w:rPr>
        <w:t xml:space="preserve"> и</w:t>
      </w:r>
      <w:r w:rsidRPr="002C4EF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аллергологический</w:t>
      </w:r>
      <w:r w:rsidRPr="00E20F1B">
        <w:rPr>
          <w:sz w:val="28"/>
          <w:szCs w:val="28"/>
        </w:rPr>
        <w:t xml:space="preserve"> </w:t>
      </w:r>
      <w:r w:rsidRPr="002C4EFC">
        <w:rPr>
          <w:color w:val="000000"/>
          <w:sz w:val="28"/>
          <w:szCs w:val="28"/>
        </w:rPr>
        <w:t>анамнез, данные лабораторных анализов и  инструментальных исследований.</w:t>
      </w:r>
      <w:r>
        <w:rPr>
          <w:color w:val="000000"/>
          <w:sz w:val="28"/>
          <w:szCs w:val="28"/>
        </w:rPr>
        <w:t xml:space="preserve"> </w:t>
      </w:r>
      <w:r w:rsidRPr="00E20F1B">
        <w:rPr>
          <w:sz w:val="28"/>
          <w:szCs w:val="28"/>
        </w:rPr>
        <w:t>В задаче будет представлена клиническая ситуация, встречающаяся в практической деятельности врача-клинического фармаколога в многопрофильном стационаре.</w:t>
      </w:r>
    </w:p>
    <w:p w:rsidR="00C92ADB" w:rsidRPr="00772E78" w:rsidRDefault="00C92ADB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72E78">
        <w:rPr>
          <w:b/>
          <w:color w:val="000000"/>
          <w:sz w:val="28"/>
          <w:szCs w:val="28"/>
        </w:rPr>
        <w:t xml:space="preserve">В задаче могут фигурировать следующие группы лекарственных средств (ЛС): 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0A8">
        <w:rPr>
          <w:color w:val="000000"/>
          <w:sz w:val="28"/>
          <w:szCs w:val="28"/>
        </w:rPr>
        <w:t>Препараты</w:t>
      </w:r>
      <w:r w:rsidR="00A85DB8">
        <w:rPr>
          <w:color w:val="000000"/>
          <w:sz w:val="28"/>
          <w:szCs w:val="28"/>
        </w:rPr>
        <w:t xml:space="preserve"> влияющие на сократительную функцию миокарда</w:t>
      </w:r>
    </w:p>
    <w:p w:rsidR="00C92ADB" w:rsidRPr="004030A8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30A8">
        <w:rPr>
          <w:color w:val="000000"/>
          <w:sz w:val="28"/>
          <w:szCs w:val="28"/>
        </w:rPr>
        <w:t>Блокаторы кальциевых каналов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Бета-адреноблокаторы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Ингибиторы АПФ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Антагонисты ангиотензина </w:t>
      </w:r>
      <w:r>
        <w:rPr>
          <w:color w:val="000000"/>
          <w:sz w:val="28"/>
          <w:szCs w:val="28"/>
          <w:lang w:val="en-US"/>
        </w:rPr>
        <w:t>II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Диуретические средства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Сердечные гликозиды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Антикоагулянты и антиагреганты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Нестероидные противовоспалительные средства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Гиполипидемические средства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Гипогликемические средства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Противомикробные препараты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Антигистаминные средства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Кортикостероиды 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Противокашлевые препараты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Препараты для лечения обструктивных заболеваний дыхательных путей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Противоэпилептические препараты</w:t>
      </w:r>
    </w:p>
    <w:p w:rsidR="00A85DB8" w:rsidRDefault="00A85DB8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 грейпфрута</w:t>
      </w:r>
    </w:p>
    <w:p w:rsidR="00C92ADB" w:rsidRDefault="00C92ADB" w:rsidP="00C92ADB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Трава зверобоя</w:t>
      </w:r>
      <w:r w:rsidR="00A85DB8">
        <w:rPr>
          <w:color w:val="000000"/>
          <w:sz w:val="28"/>
          <w:szCs w:val="28"/>
        </w:rPr>
        <w:t xml:space="preserve"> и другие фитопрепараты</w:t>
      </w:r>
    </w:p>
    <w:p w:rsidR="00C92ADB" w:rsidRDefault="00C92ADB" w:rsidP="00C92ADB">
      <w:pPr>
        <w:ind w:firstLine="708"/>
        <w:jc w:val="both"/>
        <w:rPr>
          <w:b/>
          <w:sz w:val="28"/>
          <w:szCs w:val="28"/>
          <w:lang w:val="ru-RU"/>
        </w:rPr>
      </w:pPr>
    </w:p>
    <w:p w:rsidR="00C92ADB" w:rsidRPr="00B21DFB" w:rsidRDefault="00C92ADB" w:rsidP="00C92ADB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B21D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 клинической задаче будут поставлены следующие задания:</w:t>
      </w:r>
    </w:p>
    <w:p w:rsidR="00C92ADB" w:rsidRPr="00B21DFB" w:rsidRDefault="00C92ADB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r w:rsidR="00473C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пределить</w:t>
      </w: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какие проявления побочных эффектов лекарственных средств </w:t>
      </w:r>
      <w:r w:rsidR="00A85DB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или передозировки </w:t>
      </w: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можно заподозрить в данном случае.</w:t>
      </w:r>
    </w:p>
    <w:p w:rsidR="00C92ADB" w:rsidRPr="00B21DFB" w:rsidRDefault="00C92ADB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Указать тип каждого из НПР (по классификации А, В, С, D).</w:t>
      </w:r>
    </w:p>
    <w:p w:rsidR="00C92ADB" w:rsidRPr="00B21DFB" w:rsidRDefault="00C92ADB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Указать возможную причину развития каждого из НПР</w:t>
      </w:r>
      <w:r w:rsidR="0079632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или передозировки</w:t>
      </w: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C92ADB" w:rsidRPr="00B21DFB" w:rsidRDefault="00C92ADB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Указать степень причинно-следственной связи для каждого из НПР по классификации ВОЗ и Наранжо.</w:t>
      </w:r>
    </w:p>
    <w:p w:rsidR="00C92ADB" w:rsidRPr="00B21DFB" w:rsidRDefault="00473CCC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Какие </w:t>
      </w:r>
      <w:r w:rsidR="00C92ADB"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полнительные исследования</w:t>
      </w:r>
      <w:r w:rsidR="00C92ADB"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необходимы для дифференциальной диагностики заподозренных НПР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или передозировки</w:t>
      </w:r>
      <w:r w:rsidR="00C92ADB"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?</w:t>
      </w:r>
    </w:p>
    <w:p w:rsidR="00C92ADB" w:rsidRPr="00B21DFB" w:rsidRDefault="00473CCC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 сл</w:t>
      </w:r>
      <w:r w:rsidR="00C92ADB"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едует скорректировать терапию?</w:t>
      </w:r>
    </w:p>
    <w:p w:rsidR="00C92ADB" w:rsidRPr="00B21DFB" w:rsidRDefault="00C92ADB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Какие действия должен предпринять врач для регистрации НПР? </w:t>
      </w:r>
    </w:p>
    <w:p w:rsidR="00C92ADB" w:rsidRPr="00B21DFB" w:rsidRDefault="00C92ADB" w:rsidP="00C92AD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21DF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Заполнить извещение о НПР.</w:t>
      </w:r>
    </w:p>
    <w:p w:rsidR="00C92ADB" w:rsidRDefault="00C92ADB" w:rsidP="00C92AD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92ADB" w:rsidRPr="00A17257" w:rsidRDefault="00C92ADB" w:rsidP="00C92ADB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1725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Для подготовки к конкурсному заданию участникам рекомендуется подготовиться по следующим вопросам:</w:t>
      </w:r>
    </w:p>
    <w:p w:rsidR="00C92ADB" w:rsidRPr="002C4EFC" w:rsidRDefault="00C92ADB" w:rsidP="00C92ADB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4EFC">
        <w:rPr>
          <w:color w:val="000000"/>
          <w:sz w:val="28"/>
          <w:szCs w:val="28"/>
        </w:rPr>
        <w:t xml:space="preserve">Конкурсанту следует </w:t>
      </w:r>
      <w:r>
        <w:rPr>
          <w:color w:val="000000"/>
          <w:sz w:val="28"/>
          <w:szCs w:val="28"/>
        </w:rPr>
        <w:t xml:space="preserve">уметь </w:t>
      </w:r>
      <w:r w:rsidR="00A85DB8">
        <w:rPr>
          <w:color w:val="000000"/>
          <w:sz w:val="28"/>
          <w:szCs w:val="28"/>
        </w:rPr>
        <w:t>определить причины</w:t>
      </w:r>
      <w:r w:rsidR="00473CCC">
        <w:rPr>
          <w:color w:val="000000"/>
          <w:sz w:val="28"/>
          <w:szCs w:val="28"/>
        </w:rPr>
        <w:t>,</w:t>
      </w:r>
      <w:r w:rsidR="00A85DB8">
        <w:rPr>
          <w:color w:val="000000"/>
          <w:sz w:val="28"/>
          <w:szCs w:val="28"/>
        </w:rPr>
        <w:t xml:space="preserve"> приведшие к развитию НПР или передозировке.</w:t>
      </w:r>
    </w:p>
    <w:p w:rsidR="00C92ADB" w:rsidRPr="00D34CB7" w:rsidRDefault="00C92ADB" w:rsidP="00C92A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о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собенности фармакокинетики и фармакодинамики препаратов для лечения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различных заболеваний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осложнений</w:t>
      </w:r>
    </w:p>
    <w:p w:rsidR="00C92ADB" w:rsidRPr="00D34CB7" w:rsidRDefault="00C92ADB" w:rsidP="00C92A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Уметь о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ценить назначение препаратов с учетом инструкций по медицинскому применению, согласно клиническим рекомендациям и доказательной базе</w:t>
      </w:r>
    </w:p>
    <w:p w:rsidR="00C92ADB" w:rsidRPr="00D34CB7" w:rsidRDefault="00C92ADB" w:rsidP="00C92A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Определить правильность режима дозирования препаратов, пути их введения, кратность и длительности применения  и прове</w:t>
      </w:r>
      <w:r w:rsidR="00473CC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сти коррекцию с учетом возраста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а так же функций печени и почек.</w:t>
      </w:r>
    </w:p>
    <w:p w:rsidR="00C92ADB" w:rsidRPr="00D34CB7" w:rsidRDefault="00C92ADB" w:rsidP="00C92A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Оценить риск межлекарственного взаимодействия, выявить рациональные, нерациональные, потенциально опасные комбинации лекарственных препаратов</w:t>
      </w:r>
    </w:p>
    <w:p w:rsidR="00C92ADB" w:rsidRPr="00A54CFA" w:rsidRDefault="00C92ADB" w:rsidP="00C92A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Оценить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риск развития 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еблагоприятной побочной реакции,</w:t>
      </w:r>
      <w:r w:rsidRPr="00A54C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уметь выявл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</w:t>
      </w:r>
      <w:r w:rsidRPr="00A54C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ть признаки, симптомы, предполагаемые причины нежелательных реакций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передозировки </w:t>
      </w:r>
      <w:r w:rsidRPr="00A54CF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неэффективности применения лекарственных препаратов</w:t>
      </w:r>
    </w:p>
    <w:p w:rsidR="00C92ADB" w:rsidRPr="00D34CB7" w:rsidRDefault="00C92ADB" w:rsidP="00C92A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определить тип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НПР 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 классификации ВОЗ, факторы риска ее развития у пациента,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определить причинно-след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ственную связь по шкале Наранжо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C92ADB" w:rsidRDefault="00C92ADB" w:rsidP="00C92A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 необходимости предложить меры по коррекции 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еблагоприятной побочной реакции 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(отмена препарата, замена препарата, изменение режима дозирования)   </w:t>
      </w:r>
    </w:p>
    <w:p w:rsidR="00C92ADB" w:rsidRPr="0050499D" w:rsidRDefault="00C92ADB" w:rsidP="00C92A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Решить, нужно ли оформлять карту-извещение о неблагоприятной побочной реакции</w:t>
      </w:r>
      <w:r w:rsidR="00AD2F3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D34C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какие действия должен предпринять врач для регистрации НПР? Уметь заполнить извещение о НПР</w:t>
      </w:r>
    </w:p>
    <w:p w:rsidR="00C92ADB" w:rsidRPr="002C4EFC" w:rsidRDefault="00C92ADB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3CCC" w:rsidRDefault="00473CCC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73CCC" w:rsidRDefault="00473CCC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73CCC" w:rsidRDefault="00473CCC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92ADB" w:rsidRPr="00A17257" w:rsidRDefault="00C92ADB" w:rsidP="00C92ADB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17257">
        <w:rPr>
          <w:b/>
          <w:color w:val="000000"/>
          <w:sz w:val="28"/>
          <w:szCs w:val="28"/>
        </w:rPr>
        <w:t>Рекомендуемая литература:</w:t>
      </w:r>
    </w:p>
    <w:p w:rsidR="00C92ADB" w:rsidRPr="007549AB" w:rsidRDefault="00C92ADB" w:rsidP="00C92AD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Астахова А.В., Лепахин В.К.  Неблагоприятные побочные реакции и контроль безопасности . – 2-е изд., испр. и доп. – М.: Эксмо, 2008. – 256 с. (Профессиональная медицина)   </w:t>
      </w:r>
    </w:p>
    <w:p w:rsidR="00C92ADB" w:rsidRPr="007549AB" w:rsidRDefault="00C92ADB" w:rsidP="00C92AD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Астахова А.В., Лепахин В.К. , Брайцева Е.В.  Методы выявления НПР лекарств.   «Безопасность лекарств». 2000, №2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Государственный реестр лекарственных средств. Инструкции по медицинскому применению оригинальных лекарственных средств (утвержденных МЗ РФ - [Электронный ресурс – Режим доступа: :(</w:t>
      </w:r>
      <w:hyperlink r:id="rId5" w:history="1">
        <w:r w:rsidRPr="007549AB">
          <w:rPr>
            <w:rFonts w:ascii="Times New Roman" w:eastAsia="Times New Roman" w:hAnsi="Times New Roman"/>
            <w:color w:val="000000"/>
            <w:sz w:val="28"/>
            <w:szCs w:val="28"/>
            <w:lang w:val="ru-RU" w:eastAsia="ru-RU"/>
          </w:rPr>
          <w:t>http://grls.rosminzdrav.ru/</w:t>
        </w:r>
      </w:hyperlink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)].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Клиническая фармакология: национальное руководство.  Под редакцией Ю.Б.Белоусова, В.Г.Кукеса, В.К.Лепахина, В.И.Петрова. – М.: ГЭОТАР-Медиа. 2009.  976 с. (Серия «Национальные руководства»).  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Гл.2. «Клиническая фармакокинетика» Раменская Г.В., Кукес В.Г. Сычев Д.А., Гуревич К.Г., Сидоренкова Н.Б., Батурин В.А. С. 43 – 92. 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Гл.5. «Неблагоприятные побочные реакции на лекарственные средства». Бурбелло А.Т, Бабак С.В. С. 124 – 149.              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Гл.6. «Передозировка лекарственных средств». Бурбелло А.Т. Афанасьев В.В., Бабак С.В. С. 150-158 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Гл.7.  «Взаимодействие лекарственных средств». Раменская Г.В., Кукес В.Г. Сычев Д.А., Г.А.Батищева, Гуревич К.Г. С.159 – 186.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Гл.8.  «Клиническая фармакогенетика». Сычев Д.А., Кукес В.Г.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Гл.9. «Клиническая фармакология лекарственных средств при беременности». Белоусов Ю.Б., Леонова М.В., Ушкалова Е.А. С. 209 –222.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Гл.10. «Особенности применения лекарственных средств у детей». Белоусов Ю.Б., Лукьянов С.В. С. 223 – 243.</w:t>
      </w:r>
    </w:p>
    <w:p w:rsidR="00C92ADB" w:rsidRPr="007549AB" w:rsidRDefault="00C92ADB" w:rsidP="00C92ADB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Гл.11.  «Особенности применения лекарственных средств у пожилых». Стародубцев А.К., Максимов М.Л. С. 244 – 249.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Фармаконадзор., под общ. ред. Колбина А.С., Зырянова С.К., Белоусова Д.Ю. М.: Изд-во ОКИ : Буки Веди, 2019. – 248 с.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Профилактика нежелательных реакций; врачебная тактика рационального выбора применения лекарственных средств: руководство/ под ред Н.В.Юргеля, В.Г.Кукеса. – М.:ГЭОТАР-Медиа. – 2009. – 448с.</w:t>
      </w:r>
    </w:p>
    <w:p w:rsidR="00C92ADB" w:rsidRPr="007549AB" w:rsidRDefault="00C92ADB" w:rsidP="00C92A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Клиническая фармакология. Общие вопросы клинической фармакологии: практикум: учеб. пос. / под ред. В. Г. Кукеса; Д. А. Сычев, Л. С. Долженкова, В. К. Прозорова. — М.: ГЭОТАР-Медиа, 2011. — 224 с. ISBN 978-5-9704-1771-3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Журавлева Е.О., Вельц Н.Ю., Кутехова Г.В., Дармостукова М.А., Аляутдин Р.Н. Сигнал как инструмент системы фармаконадзора. [Электронный ресурс]. – Режим доступа: </w:t>
      </w:r>
      <w:hyperlink r:id="rId6" w:history="1">
        <w:r w:rsidRPr="007549AB">
          <w:rPr>
            <w:rFonts w:ascii="Times New Roman" w:eastAsia="Times New Roman" w:hAnsi="Times New Roman"/>
            <w:color w:val="000000"/>
            <w:sz w:val="28"/>
            <w:szCs w:val="28"/>
            <w:lang w:val="ru-RU" w:eastAsia="ru-RU"/>
          </w:rPr>
          <w:t>http://doi/org/10.30895/2312-7821-2018-6-261-67.</w:t>
        </w:r>
      </w:hyperlink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Молекулярные механизмы взаимодействия лекарственных средств / под ред. акад. РАН и РАМН проф. М.А. Пальцева; акад. РАМН, проф. В.Г. Кукеса; чл.-корр. РАМН, проф. В.П.Фисенко. –  М.:АстроФармСервис, 2004. – 224 с.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Романов Б.К., Глаголев С.В., Поливанов В.А., Леонова М.В. Мониторинг безопасности лекарственных средств // Безопасность и риск фармакотерапии. – 2014. – №3. – С. 11-14 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Метаболизм лекарственных препаратов / под ред. акад. РАМН, проф. В.Г. Кукеса, чл.-корр. РАМН, проф. В.П. Фисенко. – М.:Палея-М, 2008. 131 с.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Совместимость и несовместимость лекарственных средств. Проблемы взаимодействия /под ред. А.Т.Бурбелло – СПб., 2009. – 90 с</w:t>
      </w:r>
    </w:p>
    <w:p w:rsidR="00C92ADB" w:rsidRPr="007549AB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Беляков К.В. Взаимодействие алкоголя с лекарственными препаратами. // Consilium provisorum. – 2005 – Том 03 – №5</w:t>
      </w:r>
    </w:p>
    <w:p w:rsidR="00C92ADB" w:rsidRDefault="00307D0E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hyperlink r:id="rId7" w:history="1">
        <w:r w:rsidR="00C92ADB" w:rsidRPr="003E35BE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Брошюра для специалистов здравоохранения «Мониторинг безопасности лекарственных препаратов в вопросах и ответах»</w:t>
        </w:r>
      </w:hyperlink>
      <w:r w:rsidR="00C92ADB"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[Электронный ресурс]. – Режим доступа : </w:t>
      </w:r>
      <w:hyperlink r:id="rId8" w:history="1">
        <w:r w:rsidR="00C92ADB" w:rsidRPr="00E23480">
          <w:rPr>
            <w:rStyle w:val="ac"/>
            <w:rFonts w:ascii="Times New Roman" w:eastAsia="Times New Roman" w:hAnsi="Times New Roman"/>
            <w:sz w:val="28"/>
            <w:szCs w:val="28"/>
            <w:lang w:val="ru-RU" w:eastAsia="ru-RU"/>
          </w:rPr>
          <w:t>http://www.roszdravnadzor.ru/i/upload/images/2014/12/2/1417522012.38688-1-10261.pdf</w:t>
        </w:r>
      </w:hyperlink>
    </w:p>
    <w:p w:rsidR="00C92ADB" w:rsidRPr="00F04723" w:rsidRDefault="00C92ADB" w:rsidP="00C92ADB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9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Порядок осуществления фармаконадзора (приказ Росздравнадзора №1071 от 15.02.2017) </w:t>
      </w:r>
      <w:r w:rsidRPr="007549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[Электронный ресурс]. – Режим доступа : </w:t>
      </w:r>
      <w:r w:rsidRPr="00F0472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http://www.roszdravnadzor.ru/i/upload/images/2017/3/23/1490263188.17346-1-14369.pdf</w:t>
      </w:r>
    </w:p>
    <w:p w:rsidR="00C92ADB" w:rsidRPr="007549AB" w:rsidRDefault="00C92ADB" w:rsidP="00C92ADB">
      <w:pPr>
        <w:tabs>
          <w:tab w:val="left" w:pos="0"/>
        </w:tabs>
        <w:spacing w:after="0" w:line="240" w:lineRule="auto"/>
        <w:ind w:left="720" w:right="98"/>
        <w:jc w:val="both"/>
        <w:rPr>
          <w:sz w:val="28"/>
          <w:szCs w:val="28"/>
          <w:lang w:val="ru-RU"/>
        </w:rPr>
      </w:pPr>
    </w:p>
    <w:p w:rsidR="00C92ADB" w:rsidRDefault="00C92ADB" w:rsidP="00C9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6950" w:rsidRPr="00C92ADB" w:rsidRDefault="00BB6950">
      <w:pPr>
        <w:rPr>
          <w:lang w:val="ru-RU"/>
        </w:rPr>
      </w:pPr>
    </w:p>
    <w:sectPr w:rsidR="00BB6950" w:rsidRPr="00C92ADB" w:rsidSect="00473C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4A4"/>
    <w:multiLevelType w:val="hybridMultilevel"/>
    <w:tmpl w:val="C5C6B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3C00"/>
    <w:multiLevelType w:val="hybridMultilevel"/>
    <w:tmpl w:val="20C0A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0473"/>
    <w:multiLevelType w:val="hybridMultilevel"/>
    <w:tmpl w:val="B77A63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8F31D7C"/>
    <w:multiLevelType w:val="hybridMultilevel"/>
    <w:tmpl w:val="899A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07B0"/>
    <w:multiLevelType w:val="hybridMultilevel"/>
    <w:tmpl w:val="432AF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1986"/>
    <w:multiLevelType w:val="hybridMultilevel"/>
    <w:tmpl w:val="9F2E3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DB"/>
    <w:rsid w:val="001A1A57"/>
    <w:rsid w:val="00307D0E"/>
    <w:rsid w:val="00473CCC"/>
    <w:rsid w:val="006D7395"/>
    <w:rsid w:val="0079632C"/>
    <w:rsid w:val="00831AE0"/>
    <w:rsid w:val="008A5647"/>
    <w:rsid w:val="009A6756"/>
    <w:rsid w:val="00A85DB8"/>
    <w:rsid w:val="00AC24A3"/>
    <w:rsid w:val="00AD2F30"/>
    <w:rsid w:val="00BB6950"/>
    <w:rsid w:val="00C92ADB"/>
    <w:rsid w:val="00CA1CEC"/>
    <w:rsid w:val="00CF588B"/>
    <w:rsid w:val="00E9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6C7EE6-B238-2E4E-BF5B-25CFE6F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DB"/>
    <w:pPr>
      <w:spacing w:after="200" w:line="276" w:lineRule="auto"/>
    </w:pPr>
    <w:rPr>
      <w:rFonts w:eastAsia="Calibri" w:cs="Times New Roman"/>
      <w:sz w:val="22"/>
      <w:szCs w:val="22"/>
      <w:lang w:val="en-US"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1A1A57"/>
    <w:pPr>
      <w:outlineLvl w:val="0"/>
    </w:pPr>
    <w:rPr>
      <w:rFonts w:ascii="Times New Roman" w:eastAsia="Times New Roman" w:hAnsi="Times New Roman"/>
      <w:b/>
      <w:sz w:val="28"/>
      <w:szCs w:val="20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1A1A57"/>
    <w:p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A1A57"/>
    <w:pPr>
      <w:spacing w:before="200" w:after="0" w:line="271" w:lineRule="auto"/>
      <w:outlineLvl w:val="2"/>
    </w:pPr>
    <w:rPr>
      <w:rFonts w:ascii="Cambria" w:eastAsia="Times New Roman" w:hAnsi="Cambria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A1A57"/>
    <w:pPr>
      <w:spacing w:before="200" w:after="0"/>
      <w:outlineLvl w:val="3"/>
    </w:pPr>
    <w:rPr>
      <w:rFonts w:ascii="Cambria" w:eastAsia="Times New Roman" w:hAnsi="Cambria"/>
      <w:b/>
      <w:i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1A1A57"/>
    <w:pPr>
      <w:spacing w:before="200" w:after="0"/>
      <w:outlineLvl w:val="4"/>
    </w:pPr>
    <w:rPr>
      <w:rFonts w:ascii="Cambria" w:eastAsia="Times New Roman" w:hAnsi="Cambria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1A1A57"/>
    <w:pPr>
      <w:spacing w:after="0"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1A1A57"/>
    <w:pPr>
      <w:spacing w:after="0"/>
      <w:outlineLvl w:val="6"/>
    </w:pPr>
    <w:rPr>
      <w:rFonts w:ascii="Cambria" w:eastAsia="Times New Roman" w:hAnsi="Cambria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1A1A57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1A1A57"/>
    <w:pPr>
      <w:spacing w:after="0"/>
      <w:outlineLvl w:val="8"/>
    </w:pPr>
    <w:rPr>
      <w:rFonts w:ascii="Cambria" w:eastAsia="Times New Roman" w:hAnsi="Cambria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1A1A57"/>
    <w:rPr>
      <w:rFonts w:ascii="Times New Roman" w:hAnsi="Times New Roman" w:cs="Arial"/>
      <w:b/>
      <w:sz w:val="28"/>
      <w:lang w:val="en-US"/>
    </w:rPr>
  </w:style>
  <w:style w:type="character" w:customStyle="1" w:styleId="20">
    <w:name w:val="Заголовок 2 Знак"/>
    <w:link w:val="2"/>
    <w:uiPriority w:val="9"/>
    <w:rsid w:val="001A1A57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uiPriority w:val="9"/>
    <w:rsid w:val="001A1A57"/>
    <w:rPr>
      <w:rFonts w:ascii="Cambria" w:hAnsi="Cambria" w:cs="Arial"/>
      <w:b/>
    </w:rPr>
  </w:style>
  <w:style w:type="character" w:customStyle="1" w:styleId="40">
    <w:name w:val="Заголовок 4 Знак"/>
    <w:link w:val="4"/>
    <w:uiPriority w:val="9"/>
    <w:rsid w:val="001A1A57"/>
    <w:rPr>
      <w:rFonts w:ascii="Cambria" w:hAnsi="Cambria"/>
      <w:b/>
      <w:i/>
    </w:rPr>
  </w:style>
  <w:style w:type="character" w:customStyle="1" w:styleId="50">
    <w:name w:val="Заголовок 5 Знак"/>
    <w:aliases w:val="Знак Знак"/>
    <w:link w:val="5"/>
    <w:rsid w:val="001A1A57"/>
    <w:rPr>
      <w:rFonts w:ascii="Cambria" w:hAnsi="Cambria"/>
      <w:b/>
      <w:color w:val="7F7F7F"/>
    </w:rPr>
  </w:style>
  <w:style w:type="paragraph" w:styleId="a3">
    <w:name w:val="Название"/>
    <w:aliases w:val="Знак8"/>
    <w:basedOn w:val="a"/>
    <w:next w:val="a"/>
    <w:link w:val="a4"/>
    <w:qFormat/>
    <w:rsid w:val="001A1A57"/>
    <w:pPr>
      <w:pBdr>
        <w:bottom w:val="single" w:sz="4" w:space="1" w:color="auto"/>
      </w:pBdr>
      <w:spacing w:line="240" w:lineRule="auto"/>
    </w:pPr>
    <w:rPr>
      <w:rFonts w:ascii="Cambria" w:eastAsia="Times New Roman" w:hAnsi="Cambria"/>
      <w:spacing w:val="5"/>
      <w:sz w:val="52"/>
      <w:szCs w:val="20"/>
      <w:lang w:val="x-none" w:eastAsia="x-none"/>
    </w:rPr>
  </w:style>
  <w:style w:type="character" w:customStyle="1" w:styleId="a4">
    <w:name w:val="Название Знак"/>
    <w:aliases w:val="Знак8 Знак"/>
    <w:link w:val="a3"/>
    <w:rsid w:val="001A1A57"/>
    <w:rPr>
      <w:rFonts w:ascii="Cambria" w:hAnsi="Cambria" w:cs="Arial"/>
      <w:spacing w:val="5"/>
      <w:sz w:val="52"/>
    </w:rPr>
  </w:style>
  <w:style w:type="character" w:styleId="a5">
    <w:name w:val="Strong"/>
    <w:uiPriority w:val="22"/>
    <w:qFormat/>
    <w:rsid w:val="001A1A57"/>
    <w:rPr>
      <w:b/>
    </w:rPr>
  </w:style>
  <w:style w:type="paragraph" w:styleId="a6">
    <w:name w:val="List Paragraph"/>
    <w:basedOn w:val="a"/>
    <w:uiPriority w:val="34"/>
    <w:qFormat/>
    <w:rsid w:val="001A1A57"/>
    <w:pPr>
      <w:suppressAutoHyphens/>
      <w:ind w:left="720"/>
    </w:pPr>
    <w:rPr>
      <w:lang w:eastAsia="ar-SA"/>
    </w:rPr>
  </w:style>
  <w:style w:type="paragraph" w:customStyle="1" w:styleId="11">
    <w:name w:val="Стиль1"/>
    <w:basedOn w:val="a"/>
    <w:link w:val="12"/>
    <w:rsid w:val="006D7395"/>
    <w:pPr>
      <w:ind w:firstLine="425"/>
      <w:jc w:val="both"/>
    </w:pPr>
    <w:rPr>
      <w:sz w:val="23"/>
      <w:szCs w:val="23"/>
    </w:rPr>
  </w:style>
  <w:style w:type="character" w:customStyle="1" w:styleId="12">
    <w:name w:val="Стиль1 Знак"/>
    <w:link w:val="11"/>
    <w:rsid w:val="006D7395"/>
    <w:rPr>
      <w:sz w:val="23"/>
      <w:szCs w:val="23"/>
    </w:rPr>
  </w:style>
  <w:style w:type="character" w:customStyle="1" w:styleId="60">
    <w:name w:val="Заголовок 6 Знак"/>
    <w:aliases w:val="Знак12 Знак"/>
    <w:link w:val="6"/>
    <w:rsid w:val="001A1A57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rsid w:val="001A1A57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rsid w:val="001A1A57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rsid w:val="001A1A57"/>
    <w:rPr>
      <w:rFonts w:ascii="Cambria" w:hAnsi="Cambria"/>
      <w:i/>
      <w:spacing w:val="5"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1A1A57"/>
    <w:pPr>
      <w:tabs>
        <w:tab w:val="right" w:leader="dot" w:pos="10195"/>
      </w:tabs>
      <w:spacing w:after="0" w:line="240" w:lineRule="auto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1A1A5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1A1A57"/>
    <w:pPr>
      <w:spacing w:after="100"/>
      <w:ind w:left="440"/>
    </w:pPr>
  </w:style>
  <w:style w:type="paragraph" w:styleId="a7">
    <w:name w:val="caption"/>
    <w:basedOn w:val="a"/>
    <w:next w:val="a"/>
    <w:uiPriority w:val="35"/>
    <w:qFormat/>
    <w:rsid w:val="001A1A57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Subtitle"/>
    <w:aliases w:val="Знак7"/>
    <w:basedOn w:val="a"/>
    <w:next w:val="a"/>
    <w:link w:val="a9"/>
    <w:qFormat/>
    <w:rsid w:val="001A1A57"/>
    <w:pPr>
      <w:spacing w:after="600"/>
    </w:pPr>
    <w:rPr>
      <w:rFonts w:ascii="Cambria" w:eastAsia="Times New Roman" w:hAnsi="Cambria"/>
      <w:i/>
      <w:spacing w:val="13"/>
      <w:sz w:val="24"/>
      <w:szCs w:val="20"/>
      <w:lang w:val="x-none" w:eastAsia="x-none"/>
    </w:rPr>
  </w:style>
  <w:style w:type="character" w:customStyle="1" w:styleId="a9">
    <w:name w:val="Подзаголовок Знак"/>
    <w:aliases w:val="Знак7 Знак"/>
    <w:link w:val="a8"/>
    <w:rsid w:val="001A1A57"/>
    <w:rPr>
      <w:rFonts w:ascii="Cambria" w:hAnsi="Cambria"/>
      <w:i/>
      <w:spacing w:val="13"/>
      <w:sz w:val="24"/>
    </w:rPr>
  </w:style>
  <w:style w:type="character" w:styleId="aa">
    <w:name w:val="Emphasis"/>
    <w:uiPriority w:val="20"/>
    <w:qFormat/>
    <w:rsid w:val="001A1A57"/>
    <w:rPr>
      <w:b/>
      <w:i/>
      <w:spacing w:val="10"/>
      <w:shd w:val="clear" w:color="auto" w:fill="auto"/>
    </w:rPr>
  </w:style>
  <w:style w:type="paragraph" w:styleId="ab">
    <w:name w:val="TOC Heading"/>
    <w:basedOn w:val="1"/>
    <w:next w:val="a"/>
    <w:uiPriority w:val="39"/>
    <w:unhideWhenUsed/>
    <w:qFormat/>
    <w:rsid w:val="001A1A57"/>
    <w:pPr>
      <w:keepNext/>
      <w:keepLines/>
      <w:outlineLvl w:val="9"/>
    </w:pPr>
    <w:rPr>
      <w:rFonts w:ascii="Cambria" w:hAnsi="Cambria"/>
      <w:bCs/>
      <w:color w:val="365F91"/>
      <w:szCs w:val="28"/>
    </w:rPr>
  </w:style>
  <w:style w:type="paragraph" w:customStyle="1" w:styleId="Level1">
    <w:name w:val="Level1"/>
    <w:qFormat/>
    <w:rsid w:val="001A1A57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1A1A57"/>
    <w:pPr>
      <w:suppressAutoHyphens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qFormat/>
    <w:rsid w:val="001A1A57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qFormat/>
    <w:rsid w:val="001A1A57"/>
    <w:pPr>
      <w:ind w:left="5812"/>
      <w:jc w:val="center"/>
    </w:pPr>
    <w:rPr>
      <w:rFonts w:ascii="Times New Roman" w:hAnsi="Times New Roman" w:cs="Times New Roman"/>
      <w:spacing w:val="5"/>
      <w:sz w:val="28"/>
      <w:szCs w:val="28"/>
    </w:rPr>
  </w:style>
  <w:style w:type="paragraph" w:customStyle="1" w:styleId="Style2">
    <w:name w:val="Style2"/>
    <w:qFormat/>
    <w:rsid w:val="001A1A57"/>
    <w:pPr>
      <w:suppressAutoHyphens/>
      <w:spacing w:after="240"/>
      <w:ind w:right="-1"/>
      <w:jc w:val="center"/>
    </w:pPr>
    <w:rPr>
      <w:rFonts w:ascii="Times New Roman" w:hAnsi="Times New Roman" w:cs="Times New Roman"/>
      <w:spacing w:val="5"/>
      <w:sz w:val="52"/>
    </w:rPr>
  </w:style>
  <w:style w:type="paragraph" w:customStyle="1" w:styleId="PSTOCHEADER">
    <w:name w:val="PS_TOC_HEADER"/>
    <w:qFormat/>
    <w:rsid w:val="001A1A57"/>
    <w:pPr>
      <w:spacing w:before="120" w:after="120"/>
      <w:jc w:val="center"/>
    </w:pPr>
    <w:rPr>
      <w:rFonts w:ascii="Times New Roman" w:hAnsi="Times New Roman" w:cs="Times New Roman"/>
      <w:bCs/>
      <w:sz w:val="24"/>
      <w:szCs w:val="28"/>
    </w:rPr>
  </w:style>
  <w:style w:type="paragraph" w:customStyle="1" w:styleId="StyleEndNote">
    <w:name w:val="StyleEndNote"/>
    <w:qFormat/>
    <w:rsid w:val="001A1A57"/>
    <w:rPr>
      <w:rFonts w:ascii="Times New Roman" w:hAnsi="Times New Roman" w:cs="Times New Roman"/>
    </w:rPr>
  </w:style>
  <w:style w:type="paragraph" w:customStyle="1" w:styleId="StyleFP3">
    <w:name w:val="StyleFP3"/>
    <w:basedOn w:val="13"/>
    <w:qFormat/>
    <w:rsid w:val="001A1A57"/>
  </w:style>
  <w:style w:type="character" w:styleId="ac">
    <w:name w:val="Hyperlink"/>
    <w:uiPriority w:val="99"/>
    <w:unhideWhenUsed/>
    <w:rsid w:val="00C92ADB"/>
    <w:rPr>
      <w:color w:val="0000FF"/>
      <w:u w:val="single"/>
    </w:rPr>
  </w:style>
  <w:style w:type="paragraph" w:customStyle="1" w:styleId="p4">
    <w:name w:val="p4"/>
    <w:basedOn w:val="a"/>
    <w:rsid w:val="00C92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annotation reference"/>
    <w:uiPriority w:val="99"/>
    <w:semiHidden/>
    <w:unhideWhenUsed/>
    <w:rsid w:val="00C92A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2A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92ADB"/>
    <w:rPr>
      <w:rFonts w:eastAsia="Calibri" w:cs="Times New Roman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9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92ADB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i/upload/images/2014/12/2/1417522012.38688-1-10261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roszdravnadzor.ru/drugs/monitpringlp/documents/638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doi/org/10.30895/2312-7821-2018-6-261-67." TargetMode="External" /><Relationship Id="rId5" Type="http://schemas.openxmlformats.org/officeDocument/2006/relationships/hyperlink" Target="http://grls.rosminzdrav.ru/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7256</CharactersWithSpaces>
  <SharedDoc>false</SharedDoc>
  <HLinks>
    <vt:vector size="24" baseType="variant"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http://www.roszdravnadzor.ru/i/upload/images/2014/12/2/1417522012.38688-1-10261.pdf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http://www.roszdravnadzor.ru/drugs/monitpringlp/documents/638</vt:lpwstr>
      </vt:variant>
      <vt:variant>
        <vt:lpwstr/>
      </vt:variant>
      <vt:variant>
        <vt:i4>1769490</vt:i4>
      </vt:variant>
      <vt:variant>
        <vt:i4>3</vt:i4>
      </vt:variant>
      <vt:variant>
        <vt:i4>0</vt:i4>
      </vt:variant>
      <vt:variant>
        <vt:i4>5</vt:i4>
      </vt:variant>
      <vt:variant>
        <vt:lpwstr>http://doi/org/10.30895/2312-7821-2018-6-261-67.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http://grls.rosminzdrav.ru/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Гость</cp:lastModifiedBy>
  <cp:revision>2</cp:revision>
  <dcterms:created xsi:type="dcterms:W3CDTF">2022-02-09T10:43:00Z</dcterms:created>
  <dcterms:modified xsi:type="dcterms:W3CDTF">2022-02-09T10:43:00Z</dcterms:modified>
</cp:coreProperties>
</file>